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00" w:beforeAutospacing="1" w:after="100" w:afterAutospacing="1" w:line="500" w:lineRule="exact"/>
        <w:jc w:val="center"/>
        <w:outlineLvl w:val="0"/>
        <w:rPr>
          <w:rFonts w:cs="Tahoma" w:asciiTheme="minorEastAsia" w:hAnsiTheme="minorEastAsia" w:eastAsiaTheme="minorEastAsia"/>
          <w:b/>
          <w:bCs/>
          <w:color w:val="000000"/>
          <w:kern w:val="36"/>
          <w:sz w:val="28"/>
          <w:szCs w:val="28"/>
        </w:rPr>
      </w:pPr>
      <w:r>
        <w:rPr>
          <w:rFonts w:hint="eastAsia" w:cs="Arial" w:asciiTheme="minorEastAsia" w:hAnsiTheme="minorEastAsia" w:eastAsiaTheme="minorEastAsia"/>
          <w:b/>
          <w:sz w:val="28"/>
          <w:szCs w:val="28"/>
        </w:rPr>
        <w:t xml:space="preserve">关于申请 </w:t>
      </w:r>
      <w:r>
        <w:rPr>
          <w:rFonts w:hint="eastAsia" w:cs="Tahoma" w:asciiTheme="minorEastAsia" w:hAnsiTheme="minorEastAsia" w:eastAsiaTheme="minorEastAsia"/>
          <w:b/>
          <w:bCs/>
          <w:color w:val="000000"/>
          <w:kern w:val="36"/>
          <w:sz w:val="28"/>
          <w:szCs w:val="28"/>
        </w:rPr>
        <w:t>“华民慈善基金会江西财经大学第三届就业扶助项目”</w:t>
      </w:r>
      <w:r>
        <w:rPr>
          <w:rFonts w:hint="eastAsia" w:cs="Arial" w:asciiTheme="minorEastAsia" w:hAnsiTheme="minorEastAsia" w:eastAsiaTheme="minorEastAsia"/>
          <w:b/>
          <w:sz w:val="28"/>
          <w:szCs w:val="28"/>
        </w:rPr>
        <w:t>的通知</w:t>
      </w:r>
    </w:p>
    <w:p>
      <w:pPr>
        <w:spacing w:line="360" w:lineRule="auto"/>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各学院：</w:t>
      </w:r>
      <w:bookmarkStart w:id="0" w:name="_GoBack"/>
      <w:bookmarkEnd w:id="0"/>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为了帮助我校家庭经济困难的大学毕业生顺利就业，华民慈善基金会（以下简称基金会）第十期大学生就业扶助项目暨华民慈善基金会江西财经大学第三届大学生就业扶助项目（以下简称扶助项目）于5月26日启动网上申请。为帮助有需要的同学进一步了解该项目情况，</w:t>
      </w:r>
      <w:r>
        <w:rPr>
          <w:rFonts w:hint="eastAsia" w:asciiTheme="minorEastAsia" w:hAnsiTheme="minorEastAsia" w:eastAsiaTheme="minorEastAsia"/>
          <w:sz w:val="28"/>
          <w:szCs w:val="28"/>
        </w:rPr>
        <w:t>现就相关事宜</w:t>
      </w:r>
      <w:r>
        <w:rPr>
          <w:rFonts w:hint="eastAsia" w:cs="仿宋_GB2312" w:asciiTheme="minorEastAsia" w:hAnsiTheme="minorEastAsia" w:eastAsiaTheme="minorEastAsia"/>
          <w:color w:val="000000"/>
          <w:kern w:val="0"/>
          <w:sz w:val="28"/>
          <w:szCs w:val="28"/>
        </w:rPr>
        <w:t>说明如下：</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（一）扶助内容</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采用现金资助、能力提升、就业服务三种方式。</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1.以现金资助的形式（3000元/人），在大四第一学期和第二学期分别拨付2000元和1000元至学生个人账户，帮助扶助对象在一定程度上缓解求职过程中的资金短缺。</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2.为扶助对象提供两天一晚的就业能力提升专项培训。</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（二）申请时间</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根据扶助项目的工作计划，本年度网上申请时间定于5月26日上午10：00---6月26日上午10：00，详情请关注基金会公布的项目公告。</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 xml:space="preserve">项目网址：http://dxsjy.chinahuamin.org </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（三）申请条件</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1.根据扶助项目要求，凡我校2018届本科毕业生均可以参与申报，尤其家庭经济困难的学生应积极申报。</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2.凡属下列情形之一的，其申请不予受理：</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① 在所有大学课程中，有三门或三门以上课程不及格、不合格者（补考通过的科目视为及格）。</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②受到所在学校或院系记过及以上处分者。</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（四）项目评审</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项目由基金会负责审核。基金会确保每一位符合申请条件的同学在公开、公平、公正前提下参与该项目，将根据学生申请中对各项客观性和主观性题目的作答，严格进行量化评分，并依据分数由高到低排名确定我校前120名入选学生名单。如申请学生存在虚假填报或网上申请材料与邮寄书面材料不一致，将取消其入选资格，并严格依次替补，最终确定我校100名资助名单。</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（五）中期评估</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接受本项目扶助的对象要按要求参加扶助项目中期评估。评估形式为在线问卷调查，时间为2018年3月，请同学们留意学校相关通知，按要求按时完成在线问卷。基金会在全部学生填完评估问卷后将拨付第二笔扶助款。</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（六）项目时间进度表</w:t>
      </w:r>
    </w:p>
    <w:tbl>
      <w:tblPr>
        <w:tblStyle w:val="10"/>
        <w:tblW w:w="8148" w:type="dxa"/>
        <w:tblCellSpacing w:w="0"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718"/>
        <w:gridCol w:w="5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5" w:hRule="atLeast"/>
          <w:tblCellSpacing w:w="0" w:type="dxa"/>
        </w:trPr>
        <w:tc>
          <w:tcPr>
            <w:tcW w:w="2718" w:type="dxa"/>
            <w:shd w:val="clear" w:color="auto" w:fill="auto"/>
            <w:vAlign w:val="center"/>
          </w:tcPr>
          <w:p>
            <w:pPr>
              <w:pStyle w:val="7"/>
              <w:rPr>
                <w:rFonts w:asciiTheme="minorEastAsia" w:hAnsiTheme="minorEastAsia" w:eastAsiaTheme="minorEastAsia" w:cstheme="minorEastAsia"/>
                <w:color w:val="000000"/>
                <w:szCs w:val="24"/>
              </w:rPr>
            </w:pPr>
            <w:r>
              <w:rPr>
                <w:rFonts w:hint="eastAsia" w:asciiTheme="minorEastAsia" w:hAnsiTheme="minorEastAsia" w:eastAsiaTheme="minorEastAsia" w:cstheme="minorEastAsia"/>
                <w:color w:val="000000"/>
                <w:szCs w:val="24"/>
              </w:rPr>
              <w:t>2017/05</w:t>
            </w:r>
          </w:p>
        </w:tc>
        <w:tc>
          <w:tcPr>
            <w:tcW w:w="5430" w:type="dxa"/>
            <w:shd w:val="clear" w:color="auto" w:fill="auto"/>
            <w:vAlign w:val="center"/>
          </w:tcPr>
          <w:p>
            <w:pPr>
              <w:pStyle w:val="7"/>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合作高校签约与项目校园说明会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35" w:hRule="atLeast"/>
          <w:tblCellSpacing w:w="0" w:type="dxa"/>
        </w:trPr>
        <w:tc>
          <w:tcPr>
            <w:tcW w:w="2718" w:type="dxa"/>
            <w:shd w:val="clear" w:color="auto" w:fill="auto"/>
            <w:vAlign w:val="center"/>
          </w:tcPr>
          <w:p>
            <w:pPr>
              <w:pStyle w:val="7"/>
              <w:rPr>
                <w:rFonts w:asciiTheme="minorEastAsia" w:hAnsiTheme="minorEastAsia" w:eastAsiaTheme="minorEastAsia" w:cstheme="minorEastAsia"/>
                <w:color w:val="000000"/>
                <w:szCs w:val="24"/>
              </w:rPr>
            </w:pPr>
            <w:r>
              <w:rPr>
                <w:rFonts w:hint="eastAsia" w:asciiTheme="minorEastAsia" w:hAnsiTheme="minorEastAsia" w:eastAsiaTheme="minorEastAsia" w:cstheme="minorEastAsia"/>
                <w:color w:val="000000"/>
                <w:szCs w:val="24"/>
              </w:rPr>
              <w:t>2017/05–2017/06 </w:t>
            </w:r>
          </w:p>
        </w:tc>
        <w:tc>
          <w:tcPr>
            <w:tcW w:w="5430" w:type="dxa"/>
            <w:shd w:val="clear" w:color="auto" w:fill="auto"/>
            <w:vAlign w:val="center"/>
          </w:tcPr>
          <w:p>
            <w:pPr>
              <w:pStyle w:val="7"/>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受理学生网上申请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5" w:hRule="atLeast"/>
          <w:tblCellSpacing w:w="0" w:type="dxa"/>
        </w:trPr>
        <w:tc>
          <w:tcPr>
            <w:tcW w:w="2718" w:type="dxa"/>
            <w:shd w:val="clear" w:color="auto" w:fill="auto"/>
            <w:vAlign w:val="center"/>
          </w:tcPr>
          <w:p>
            <w:pPr>
              <w:pStyle w:val="7"/>
              <w:rPr>
                <w:rFonts w:asciiTheme="minorEastAsia" w:hAnsiTheme="minorEastAsia" w:eastAsiaTheme="minorEastAsia" w:cstheme="minorEastAsia"/>
                <w:color w:val="000000"/>
                <w:szCs w:val="24"/>
              </w:rPr>
            </w:pPr>
            <w:r>
              <w:rPr>
                <w:rFonts w:hint="eastAsia" w:asciiTheme="minorEastAsia" w:hAnsiTheme="minorEastAsia" w:eastAsiaTheme="minorEastAsia" w:cstheme="minorEastAsia"/>
                <w:color w:val="000000"/>
                <w:szCs w:val="24"/>
              </w:rPr>
              <w:t>2017/06–2017/07 </w:t>
            </w:r>
          </w:p>
        </w:tc>
        <w:tc>
          <w:tcPr>
            <w:tcW w:w="5430" w:type="dxa"/>
            <w:shd w:val="clear" w:color="auto" w:fill="auto"/>
            <w:vAlign w:val="center"/>
          </w:tcPr>
          <w:p>
            <w:pPr>
              <w:pStyle w:val="7"/>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学校审核邮寄申请材料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5" w:hRule="atLeast"/>
          <w:tblCellSpacing w:w="0" w:type="dxa"/>
        </w:trPr>
        <w:tc>
          <w:tcPr>
            <w:tcW w:w="2718" w:type="dxa"/>
            <w:shd w:val="clear" w:color="auto" w:fill="auto"/>
            <w:vAlign w:val="center"/>
          </w:tcPr>
          <w:p>
            <w:pPr>
              <w:pStyle w:val="7"/>
              <w:rPr>
                <w:rFonts w:asciiTheme="minorEastAsia" w:hAnsiTheme="minorEastAsia" w:eastAsiaTheme="minorEastAsia" w:cstheme="minorEastAsia"/>
                <w:color w:val="000000"/>
                <w:szCs w:val="24"/>
              </w:rPr>
            </w:pPr>
            <w:r>
              <w:rPr>
                <w:rFonts w:hint="eastAsia" w:asciiTheme="minorEastAsia" w:hAnsiTheme="minorEastAsia" w:eastAsiaTheme="minorEastAsia" w:cstheme="minorEastAsia"/>
                <w:color w:val="000000"/>
                <w:szCs w:val="24"/>
              </w:rPr>
              <w:t>2017/06–2017/09 </w:t>
            </w:r>
          </w:p>
        </w:tc>
        <w:tc>
          <w:tcPr>
            <w:tcW w:w="5430" w:type="dxa"/>
            <w:shd w:val="clear" w:color="auto" w:fill="auto"/>
            <w:vAlign w:val="center"/>
          </w:tcPr>
          <w:p>
            <w:pPr>
              <w:pStyle w:val="7"/>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确定受助学生名单</w:t>
            </w:r>
          </w:p>
          <w:p>
            <w:pPr>
              <w:pStyle w:val="7"/>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（第三方评审、基金会核查、学校复核）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6" w:hRule="atLeast"/>
          <w:tblCellSpacing w:w="0" w:type="dxa"/>
        </w:trPr>
        <w:tc>
          <w:tcPr>
            <w:tcW w:w="2718" w:type="dxa"/>
            <w:shd w:val="clear" w:color="auto" w:fill="auto"/>
            <w:vAlign w:val="center"/>
          </w:tcPr>
          <w:p>
            <w:pPr>
              <w:pStyle w:val="7"/>
              <w:rPr>
                <w:rFonts w:asciiTheme="minorEastAsia" w:hAnsiTheme="minorEastAsia" w:eastAsiaTheme="minorEastAsia" w:cstheme="minorEastAsia"/>
                <w:color w:val="000000"/>
                <w:szCs w:val="24"/>
              </w:rPr>
            </w:pPr>
            <w:r>
              <w:rPr>
                <w:rFonts w:hint="eastAsia" w:asciiTheme="minorEastAsia" w:hAnsiTheme="minorEastAsia" w:eastAsiaTheme="minorEastAsia" w:cstheme="minorEastAsia"/>
                <w:color w:val="000000"/>
                <w:szCs w:val="24"/>
              </w:rPr>
              <w:t>2017/10–2017/11 </w:t>
            </w:r>
          </w:p>
        </w:tc>
        <w:tc>
          <w:tcPr>
            <w:tcW w:w="5430" w:type="dxa"/>
            <w:shd w:val="clear" w:color="auto" w:fill="auto"/>
            <w:vAlign w:val="center"/>
          </w:tcPr>
          <w:p>
            <w:pPr>
              <w:pStyle w:val="7"/>
              <w:ind w:left="1058" w:hanging="1058" w:hangingChars="441"/>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拨付首期款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5" w:hRule="atLeast"/>
          <w:tblCellSpacing w:w="0" w:type="dxa"/>
        </w:trPr>
        <w:tc>
          <w:tcPr>
            <w:tcW w:w="2718" w:type="dxa"/>
            <w:shd w:val="clear" w:color="auto" w:fill="auto"/>
            <w:vAlign w:val="center"/>
          </w:tcPr>
          <w:p>
            <w:pPr>
              <w:pStyle w:val="7"/>
              <w:rPr>
                <w:rFonts w:asciiTheme="minorEastAsia" w:hAnsiTheme="minorEastAsia" w:eastAsiaTheme="minorEastAsia" w:cstheme="minorEastAsia"/>
                <w:color w:val="000000"/>
                <w:szCs w:val="24"/>
              </w:rPr>
            </w:pPr>
            <w:r>
              <w:rPr>
                <w:rFonts w:hint="eastAsia" w:asciiTheme="minorEastAsia" w:hAnsiTheme="minorEastAsia" w:eastAsiaTheme="minorEastAsia" w:cstheme="minorEastAsia"/>
                <w:color w:val="000000"/>
                <w:szCs w:val="24"/>
              </w:rPr>
              <w:t>2018/03</w:t>
            </w:r>
          </w:p>
        </w:tc>
        <w:tc>
          <w:tcPr>
            <w:tcW w:w="5430" w:type="dxa"/>
            <w:shd w:val="clear" w:color="auto" w:fill="auto"/>
            <w:vAlign w:val="center"/>
          </w:tcPr>
          <w:p>
            <w:pPr>
              <w:pStyle w:val="7"/>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中期评估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80" w:hRule="atLeast"/>
          <w:tblCellSpacing w:w="0" w:type="dxa"/>
        </w:trPr>
        <w:tc>
          <w:tcPr>
            <w:tcW w:w="2718" w:type="dxa"/>
            <w:shd w:val="clear" w:color="auto" w:fill="auto"/>
            <w:vAlign w:val="center"/>
          </w:tcPr>
          <w:p>
            <w:pPr>
              <w:pStyle w:val="7"/>
              <w:rPr>
                <w:rFonts w:asciiTheme="minorEastAsia" w:hAnsiTheme="minorEastAsia" w:eastAsiaTheme="minorEastAsia" w:cstheme="minorEastAsia"/>
                <w:color w:val="000000"/>
                <w:szCs w:val="24"/>
              </w:rPr>
            </w:pPr>
            <w:r>
              <w:rPr>
                <w:rFonts w:hint="eastAsia" w:asciiTheme="minorEastAsia" w:hAnsiTheme="minorEastAsia" w:eastAsiaTheme="minorEastAsia" w:cstheme="minorEastAsia"/>
                <w:color w:val="000000"/>
                <w:szCs w:val="24"/>
              </w:rPr>
              <w:t>2018/04</w:t>
            </w:r>
          </w:p>
        </w:tc>
        <w:tc>
          <w:tcPr>
            <w:tcW w:w="5430" w:type="dxa"/>
            <w:shd w:val="clear" w:color="auto" w:fill="auto"/>
            <w:vAlign w:val="center"/>
          </w:tcPr>
          <w:p>
            <w:pPr>
              <w:pStyle w:val="7"/>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拨付尾款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5" w:hRule="atLeast"/>
          <w:tblCellSpacing w:w="0" w:type="dxa"/>
        </w:trPr>
        <w:tc>
          <w:tcPr>
            <w:tcW w:w="2718" w:type="dxa"/>
            <w:shd w:val="clear" w:color="auto" w:fill="auto"/>
            <w:vAlign w:val="center"/>
          </w:tcPr>
          <w:p>
            <w:pPr>
              <w:pStyle w:val="7"/>
              <w:rPr>
                <w:rFonts w:asciiTheme="minorEastAsia" w:hAnsiTheme="minorEastAsia" w:eastAsiaTheme="minorEastAsia" w:cstheme="minorEastAsia"/>
                <w:color w:val="000000"/>
                <w:szCs w:val="24"/>
              </w:rPr>
            </w:pPr>
            <w:r>
              <w:rPr>
                <w:rFonts w:hint="eastAsia" w:asciiTheme="minorEastAsia" w:hAnsiTheme="minorEastAsia" w:eastAsiaTheme="minorEastAsia" w:cstheme="minorEastAsia"/>
                <w:color w:val="000000"/>
                <w:szCs w:val="24"/>
              </w:rPr>
              <w:t>2018/05–2018/07</w:t>
            </w:r>
          </w:p>
        </w:tc>
        <w:tc>
          <w:tcPr>
            <w:tcW w:w="5430" w:type="dxa"/>
            <w:shd w:val="clear" w:color="auto" w:fill="auto"/>
            <w:vAlign w:val="center"/>
          </w:tcPr>
          <w:p>
            <w:pPr>
              <w:pStyle w:val="7"/>
              <w:rPr>
                <w:rFonts w:asciiTheme="minorEastAsia" w:hAnsiTheme="minorEastAsia" w:eastAsiaTheme="minorEastAsia" w:cstheme="minorEastAsia"/>
                <w:szCs w:val="24"/>
              </w:rPr>
            </w:pPr>
            <w:r>
              <w:rPr>
                <w:rFonts w:hint="eastAsia" w:asciiTheme="minorEastAsia" w:hAnsiTheme="minorEastAsia" w:eastAsiaTheme="minorEastAsia" w:cstheme="minorEastAsia"/>
                <w:szCs w:val="24"/>
              </w:rPr>
              <w:t>结项评估</w:t>
            </w:r>
          </w:p>
        </w:tc>
      </w:tr>
    </w:tbl>
    <w:p>
      <w:pPr>
        <w:widowControl/>
        <w:numPr>
          <w:ilvl w:val="255"/>
          <w:numId w:val="0"/>
        </w:numPr>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（七）注意事项</w:t>
      </w:r>
    </w:p>
    <w:p>
      <w:pPr>
        <w:widowControl/>
        <w:numPr>
          <w:ilvl w:val="255"/>
          <w:numId w:val="0"/>
        </w:numPr>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 xml:space="preserve">1.在线注册：注册时请认真检查注册信息是否输入准确，特别是身份证号码、学校名称、性别等，请各位同学务必牢记自己设置登录名和密码，最好能记录在相关比较安全的记事本上，以备查询！ </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2.登录后按照在线申请表格要求填写有关内容。网上申请时可先保存并修改，在纸质材料上交华民慈善基金会之前，如发现所填信息有误的，可修改网上相关内容，并重新提交、填写完整并确认无误后再用A4纸打印并提交，打印纸质材料一旦上交，将不能再修改网上申请材料，材料签名处须手写。纸质材料需与网上申请材料完全一致。若出现不一致情况，申请资格将被取消。</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3.提交网申打印材料，按照《项目申请人登记表》、《项目申请书》和《申请声明》的先后顺序装订，网申材料请用订书针统一装订在左上角，不要使用曲别针等，材料递交到所在学院进行真实性审核，由学校统一邮寄。</w:t>
      </w:r>
    </w:p>
    <w:p>
      <w:pPr>
        <w:widowControl/>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4.各学院于6月30日之前将审核好的材料（1.网申材料：按照《项目申请人登记表》右上角的申请编号后4位从小到大码放；2.证明材料：与网申材料分开装订）交至蛟桥园南区大学生活动中心305室付姣老师处，逾期不候。</w:t>
      </w:r>
    </w:p>
    <w:p>
      <w:pPr>
        <w:widowControl/>
        <w:numPr>
          <w:ilvl w:val="255"/>
          <w:numId w:val="0"/>
        </w:numPr>
        <w:spacing w:line="360" w:lineRule="auto"/>
        <w:ind w:firstLine="560" w:firstLineChars="200"/>
        <w:jc w:val="left"/>
        <w:rPr>
          <w:rFonts w:cs="仿宋_GB2312" w:asciiTheme="minorEastAsia" w:hAnsiTheme="minorEastAsia" w:eastAsiaTheme="minorEastAsia"/>
          <w:color w:val="000000"/>
          <w:kern w:val="0"/>
          <w:sz w:val="28"/>
          <w:szCs w:val="28"/>
        </w:rPr>
      </w:pPr>
      <w:r>
        <w:rPr>
          <w:rFonts w:hint="eastAsia" w:cs="仿宋_GB2312" w:asciiTheme="minorEastAsia" w:hAnsiTheme="minorEastAsia" w:eastAsiaTheme="minorEastAsia"/>
          <w:color w:val="000000"/>
          <w:kern w:val="0"/>
          <w:sz w:val="28"/>
          <w:szCs w:val="28"/>
        </w:rPr>
        <w:t>5.网申材料学校统一邮寄，学生自行邮寄到基金会的材料将视为无效材料。</w:t>
      </w:r>
      <w:r>
        <w:fldChar w:fldCharType="begin"/>
      </w:r>
      <w:r>
        <w:instrText xml:space="preserve"> HYPERLINK "mailto:" </w:instrText>
      </w:r>
      <w:r>
        <w:fldChar w:fldCharType="separate"/>
      </w:r>
      <w:r>
        <w:fldChar w:fldCharType="end"/>
      </w:r>
    </w:p>
    <w:p>
      <w:pPr>
        <w:tabs>
          <w:tab w:val="left" w:pos="360"/>
          <w:tab w:val="left" w:pos="720"/>
        </w:tabs>
        <w:spacing w:line="360" w:lineRule="auto"/>
        <w:ind w:firstLine="560" w:firstLineChars="200"/>
        <w:textAlignment w:val="baseline"/>
        <w:rPr>
          <w:rFonts w:asciiTheme="minorEastAsia" w:hAnsiTheme="minorEastAsia" w:eastAsiaTheme="minorEastAsia"/>
          <w:sz w:val="28"/>
          <w:szCs w:val="28"/>
        </w:rPr>
      </w:pPr>
      <w:r>
        <w:rPr>
          <w:rFonts w:hint="eastAsia" w:asciiTheme="minorEastAsia" w:hAnsiTheme="minorEastAsia" w:eastAsiaTheme="minorEastAsia"/>
          <w:sz w:val="28"/>
          <w:szCs w:val="28"/>
        </w:rPr>
        <w:t>（八）项目咨询</w:t>
      </w:r>
    </w:p>
    <w:p>
      <w:pPr>
        <w:numPr>
          <w:ilvl w:val="0"/>
          <w:numId w:val="1"/>
        </w:numPr>
        <w:tabs>
          <w:tab w:val="left" w:pos="360"/>
          <w:tab w:val="left" w:pos="720"/>
        </w:tabs>
        <w:spacing w:line="360" w:lineRule="auto"/>
        <w:ind w:firstLine="560" w:firstLineChars="200"/>
        <w:textAlignment w:val="baseline"/>
        <w:rPr>
          <w:sz w:val="28"/>
          <w:szCs w:val="28"/>
        </w:rPr>
      </w:pPr>
      <w:r>
        <w:rPr>
          <w:rFonts w:hint="eastAsia" w:asciiTheme="minorEastAsia" w:hAnsiTheme="minorEastAsia" w:eastAsiaTheme="minorEastAsia"/>
          <w:sz w:val="28"/>
          <w:szCs w:val="28"/>
        </w:rPr>
        <w:t>学校咨询电话：0791-83813913，咨询QQ群：606984951；</w:t>
      </w:r>
    </w:p>
    <w:p>
      <w:pPr>
        <w:numPr>
          <w:ilvl w:val="0"/>
          <w:numId w:val="1"/>
        </w:numPr>
        <w:tabs>
          <w:tab w:val="left" w:pos="360"/>
          <w:tab w:val="left" w:pos="720"/>
        </w:tabs>
        <w:spacing w:line="360" w:lineRule="auto"/>
        <w:ind w:firstLine="560" w:firstLineChars="200"/>
        <w:textAlignment w:val="baseline"/>
        <w:rPr>
          <w:sz w:val="28"/>
          <w:szCs w:val="28"/>
        </w:rPr>
      </w:pPr>
      <w:r>
        <w:rPr>
          <w:rFonts w:hint="eastAsia"/>
          <w:sz w:val="28"/>
          <w:szCs w:val="28"/>
        </w:rPr>
        <w:t>项目咨询热线：</w:t>
      </w:r>
      <w:r>
        <w:rPr>
          <w:sz w:val="28"/>
          <w:szCs w:val="28"/>
        </w:rPr>
        <w:t xml:space="preserve">010-65261396 </w:t>
      </w:r>
      <w:r>
        <w:rPr>
          <w:rFonts w:hint="eastAsia"/>
          <w:sz w:val="28"/>
          <w:szCs w:val="28"/>
        </w:rPr>
        <w:t>（基金会）</w:t>
      </w:r>
      <w:r>
        <w:rPr>
          <w:sz w:val="28"/>
          <w:szCs w:val="28"/>
        </w:rPr>
        <w:t xml:space="preserve">                          </w:t>
      </w:r>
    </w:p>
    <w:p>
      <w:pPr>
        <w:tabs>
          <w:tab w:val="left" w:pos="360"/>
          <w:tab w:val="left" w:pos="720"/>
        </w:tabs>
        <w:spacing w:line="360" w:lineRule="auto"/>
        <w:ind w:firstLine="560" w:firstLineChars="200"/>
        <w:textAlignment w:val="baseline"/>
        <w:rPr>
          <w:sz w:val="28"/>
          <w:szCs w:val="28"/>
        </w:rPr>
      </w:pPr>
      <w:r>
        <w:rPr>
          <w:rFonts w:hint="eastAsia"/>
          <w:sz w:val="28"/>
          <w:szCs w:val="28"/>
        </w:rPr>
        <w:t>热线工作时间为：申请期工作日，即每周一至周五：上午</w:t>
      </w:r>
      <w:r>
        <w:rPr>
          <w:sz w:val="28"/>
          <w:szCs w:val="28"/>
        </w:rPr>
        <w:t>10:</w:t>
      </w:r>
      <w:r>
        <w:rPr>
          <w:rFonts w:hint="eastAsia"/>
          <w:sz w:val="28"/>
          <w:szCs w:val="28"/>
        </w:rPr>
        <w:t>3</w:t>
      </w:r>
      <w:r>
        <w:rPr>
          <w:sz w:val="28"/>
          <w:szCs w:val="28"/>
        </w:rPr>
        <w:t>0--11:30</w:t>
      </w:r>
      <w:r>
        <w:rPr>
          <w:rFonts w:hint="eastAsia"/>
          <w:sz w:val="28"/>
          <w:szCs w:val="28"/>
        </w:rPr>
        <w:t>，下午</w:t>
      </w:r>
      <w:r>
        <w:rPr>
          <w:sz w:val="28"/>
          <w:szCs w:val="28"/>
        </w:rPr>
        <w:t>15:</w:t>
      </w:r>
      <w:r>
        <w:rPr>
          <w:rFonts w:hint="eastAsia"/>
          <w:sz w:val="28"/>
          <w:szCs w:val="28"/>
        </w:rPr>
        <w:t>3</w:t>
      </w:r>
      <w:r>
        <w:rPr>
          <w:sz w:val="28"/>
          <w:szCs w:val="28"/>
        </w:rPr>
        <w:t>0--16:30</w:t>
      </w:r>
    </w:p>
    <w:p>
      <w:pPr>
        <w:tabs>
          <w:tab w:val="left" w:pos="360"/>
          <w:tab w:val="left" w:pos="720"/>
        </w:tabs>
        <w:spacing w:line="360" w:lineRule="auto"/>
        <w:ind w:firstLine="560" w:firstLineChars="200"/>
        <w:textAlignment w:val="baseline"/>
        <w:rPr>
          <w:sz w:val="28"/>
          <w:szCs w:val="28"/>
        </w:rPr>
      </w:pPr>
      <w:r>
        <w:rPr>
          <w:rFonts w:hint="eastAsia"/>
          <w:sz w:val="28"/>
          <w:szCs w:val="28"/>
        </w:rPr>
        <w:t>项目咨询邮箱：</w:t>
      </w:r>
      <w:r>
        <w:rPr>
          <w:sz w:val="28"/>
          <w:szCs w:val="28"/>
        </w:rPr>
        <w:t xml:space="preserve">datx@chinahuamin.org </w:t>
      </w:r>
    </w:p>
    <w:p>
      <w:pPr>
        <w:tabs>
          <w:tab w:val="left" w:pos="360"/>
          <w:tab w:val="left" w:pos="720"/>
        </w:tabs>
        <w:spacing w:line="360" w:lineRule="auto"/>
        <w:ind w:firstLine="560" w:firstLineChars="200"/>
        <w:textAlignment w:val="baseline"/>
        <w:rPr>
          <w:sz w:val="28"/>
          <w:szCs w:val="28"/>
        </w:rPr>
      </w:pPr>
      <w:r>
        <w:rPr>
          <w:rFonts w:hint="eastAsia"/>
          <w:sz w:val="28"/>
          <w:szCs w:val="28"/>
        </w:rPr>
        <w:t>项目网址：</w:t>
      </w:r>
      <w:r>
        <w:rPr>
          <w:sz w:val="28"/>
          <w:szCs w:val="28"/>
        </w:rPr>
        <w:t xml:space="preserve">http://dxsjy.chinahuamin.org </w:t>
      </w:r>
    </w:p>
    <w:p>
      <w:pPr>
        <w:tabs>
          <w:tab w:val="left" w:pos="360"/>
          <w:tab w:val="left" w:pos="720"/>
        </w:tabs>
        <w:spacing w:line="360" w:lineRule="auto"/>
        <w:ind w:firstLine="560" w:firstLineChars="200"/>
        <w:textAlignment w:val="baseline"/>
        <w:rPr>
          <w:sz w:val="28"/>
          <w:szCs w:val="28"/>
        </w:rPr>
      </w:pPr>
      <w:r>
        <w:rPr>
          <w:rFonts w:hint="eastAsia"/>
          <w:sz w:val="28"/>
          <w:szCs w:val="28"/>
        </w:rPr>
        <w:t>基金会网址：</w:t>
      </w:r>
      <w:r>
        <w:rPr>
          <w:sz w:val="28"/>
          <w:szCs w:val="28"/>
        </w:rPr>
        <w:t xml:space="preserve">http://www.chinahuamin.org   </w:t>
      </w:r>
    </w:p>
    <w:p>
      <w:pPr>
        <w:numPr>
          <w:ilvl w:val="255"/>
          <w:numId w:val="0"/>
        </w:numPr>
        <w:tabs>
          <w:tab w:val="left" w:pos="360"/>
          <w:tab w:val="left" w:pos="720"/>
        </w:tabs>
        <w:spacing w:line="360" w:lineRule="auto"/>
        <w:textAlignment w:val="baseline"/>
        <w:rPr>
          <w:rFonts w:asciiTheme="minorEastAsia" w:hAnsiTheme="minorEastAsia" w:eastAsiaTheme="minorEastAsia"/>
          <w:sz w:val="28"/>
          <w:szCs w:val="28"/>
        </w:rPr>
      </w:pPr>
    </w:p>
    <w:p>
      <w:pPr>
        <w:tabs>
          <w:tab w:val="left" w:pos="360"/>
          <w:tab w:val="left" w:pos="720"/>
        </w:tabs>
        <w:spacing w:line="360" w:lineRule="auto"/>
        <w:textAlignment w:val="baseline"/>
        <w:rPr>
          <w:rFonts w:asciiTheme="minorEastAsia" w:hAnsiTheme="minorEastAsia" w:eastAsiaTheme="minorEastAsia"/>
          <w:sz w:val="28"/>
          <w:szCs w:val="28"/>
        </w:rPr>
      </w:pPr>
    </w:p>
    <w:p>
      <w:pPr>
        <w:tabs>
          <w:tab w:val="left" w:pos="360"/>
          <w:tab w:val="left" w:pos="720"/>
        </w:tabs>
        <w:spacing w:line="360" w:lineRule="auto"/>
        <w:ind w:firstLine="6720" w:firstLineChars="2400"/>
        <w:textAlignment w:val="baseline"/>
        <w:rPr>
          <w:rFonts w:asciiTheme="minorEastAsia" w:hAnsiTheme="minorEastAsia" w:eastAsiaTheme="minorEastAsia"/>
          <w:sz w:val="28"/>
          <w:szCs w:val="28"/>
        </w:rPr>
      </w:pPr>
      <w:r>
        <w:rPr>
          <w:rFonts w:hint="eastAsia" w:asciiTheme="minorEastAsia" w:hAnsiTheme="minorEastAsia" w:eastAsiaTheme="minorEastAsia"/>
          <w:sz w:val="28"/>
          <w:szCs w:val="28"/>
        </w:rPr>
        <w:t>招生就业处</w:t>
      </w:r>
    </w:p>
    <w:p>
      <w:pPr>
        <w:spacing w:before="100" w:beforeAutospacing="1" w:after="100" w:afterAutospacing="1" w:line="360" w:lineRule="auto"/>
        <w:ind w:firstLine="6160" w:firstLineChars="2200"/>
        <w:rPr>
          <w:rFonts w:asciiTheme="minorEastAsia" w:hAnsiTheme="minorEastAsia" w:eastAsiaTheme="minorEastAsia"/>
          <w:sz w:val="28"/>
          <w:szCs w:val="28"/>
        </w:rPr>
      </w:pPr>
      <w:r>
        <w:rPr>
          <w:rFonts w:hint="eastAsia" w:asciiTheme="minorEastAsia" w:hAnsiTheme="minorEastAsia" w:eastAsiaTheme="minorEastAsia"/>
          <w:sz w:val="28"/>
          <w:szCs w:val="28"/>
        </w:rPr>
        <w:t>2017年5月31日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265335"/>
    <w:multiLevelType w:val="singleLevel"/>
    <w:tmpl w:val="5926533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62D2E"/>
    <w:rsid w:val="000A35A1"/>
    <w:rsid w:val="00126B09"/>
    <w:rsid w:val="00164E74"/>
    <w:rsid w:val="00181670"/>
    <w:rsid w:val="001F42CA"/>
    <w:rsid w:val="002216A8"/>
    <w:rsid w:val="002348D3"/>
    <w:rsid w:val="00303AAE"/>
    <w:rsid w:val="003D5878"/>
    <w:rsid w:val="00421C7B"/>
    <w:rsid w:val="0048314E"/>
    <w:rsid w:val="00562D2E"/>
    <w:rsid w:val="005863E3"/>
    <w:rsid w:val="00617A22"/>
    <w:rsid w:val="00642BF3"/>
    <w:rsid w:val="00705B28"/>
    <w:rsid w:val="00833D58"/>
    <w:rsid w:val="00A62968"/>
    <w:rsid w:val="00AC1BE3"/>
    <w:rsid w:val="00AE1424"/>
    <w:rsid w:val="00B5123B"/>
    <w:rsid w:val="00C15482"/>
    <w:rsid w:val="00C91686"/>
    <w:rsid w:val="00CB5525"/>
    <w:rsid w:val="00D761A9"/>
    <w:rsid w:val="00F41042"/>
    <w:rsid w:val="00FB6D41"/>
    <w:rsid w:val="11F621E3"/>
    <w:rsid w:val="1AA67122"/>
    <w:rsid w:val="29571A44"/>
    <w:rsid w:val="36796818"/>
    <w:rsid w:val="3B8872E7"/>
    <w:rsid w:val="3C2004E0"/>
    <w:rsid w:val="4B870AC5"/>
    <w:rsid w:val="4D424E53"/>
    <w:rsid w:val="51C35DBF"/>
    <w:rsid w:val="5F3D1196"/>
    <w:rsid w:val="6C2950B6"/>
    <w:rsid w:val="6F36350D"/>
    <w:rsid w:val="709F0E21"/>
    <w:rsid w:val="7D4D4D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1"/>
    <w:qFormat/>
    <w:uiPriority w:val="99"/>
    <w:pPr>
      <w:keepNext/>
      <w:keepLines/>
      <w:spacing w:before="260" w:after="260" w:line="413" w:lineRule="auto"/>
      <w:outlineLvl w:val="1"/>
    </w:pPr>
    <w:rPr>
      <w:rFonts w:ascii="Arial" w:hAnsi="Arial" w:eastAsia="黑体"/>
      <w:b/>
      <w:sz w:val="32"/>
    </w:rPr>
  </w:style>
  <w:style w:type="paragraph" w:styleId="3">
    <w:name w:val="heading 3"/>
    <w:basedOn w:val="1"/>
    <w:next w:val="1"/>
    <w:link w:val="12"/>
    <w:qFormat/>
    <w:uiPriority w:val="99"/>
    <w:pPr>
      <w:keepNext/>
      <w:keepLines/>
      <w:spacing w:before="260" w:after="260" w:line="413" w:lineRule="auto"/>
      <w:outlineLvl w:val="2"/>
    </w:pPr>
    <w:rPr>
      <w:b/>
      <w:sz w:val="32"/>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Balloon Text"/>
    <w:basedOn w:val="1"/>
    <w:link w:val="15"/>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0"/>
    </w:rPr>
  </w:style>
  <w:style w:type="character" w:styleId="9">
    <w:name w:val="Hyperlink"/>
    <w:basedOn w:val="8"/>
    <w:unhideWhenUsed/>
    <w:qFormat/>
    <w:uiPriority w:val="99"/>
    <w:rPr>
      <w:color w:val="0000FF" w:themeColor="hyperlink"/>
      <w:u w:val="single"/>
    </w:rPr>
  </w:style>
  <w:style w:type="character" w:customStyle="1" w:styleId="11">
    <w:name w:val="标题 2 Char"/>
    <w:basedOn w:val="8"/>
    <w:link w:val="2"/>
    <w:qFormat/>
    <w:uiPriority w:val="99"/>
    <w:rPr>
      <w:rFonts w:ascii="Arial" w:hAnsi="Arial" w:eastAsia="黑体" w:cs="Times New Roman"/>
      <w:b/>
      <w:sz w:val="32"/>
    </w:rPr>
  </w:style>
  <w:style w:type="character" w:customStyle="1" w:styleId="12">
    <w:name w:val="标题 3 Char"/>
    <w:basedOn w:val="8"/>
    <w:link w:val="3"/>
    <w:qFormat/>
    <w:uiPriority w:val="99"/>
    <w:rPr>
      <w:rFonts w:ascii="Calibri" w:hAnsi="Calibri" w:eastAsia="宋体" w:cs="Times New Roman"/>
      <w:b/>
      <w:sz w:val="32"/>
    </w:rPr>
  </w:style>
  <w:style w:type="character" w:customStyle="1" w:styleId="13">
    <w:name w:val="页眉 Char"/>
    <w:basedOn w:val="8"/>
    <w:link w:val="6"/>
    <w:semiHidden/>
    <w:qFormat/>
    <w:uiPriority w:val="99"/>
    <w:rPr>
      <w:rFonts w:ascii="Calibri" w:hAnsi="Calibri" w:eastAsia="宋体" w:cs="Times New Roman"/>
      <w:sz w:val="18"/>
      <w:szCs w:val="18"/>
    </w:rPr>
  </w:style>
  <w:style w:type="character" w:customStyle="1" w:styleId="14">
    <w:name w:val="页脚 Char"/>
    <w:basedOn w:val="8"/>
    <w:link w:val="5"/>
    <w:semiHidden/>
    <w:qFormat/>
    <w:uiPriority w:val="99"/>
    <w:rPr>
      <w:rFonts w:ascii="Calibri" w:hAnsi="Calibri" w:eastAsia="宋体" w:cs="Times New Roman"/>
      <w:sz w:val="18"/>
      <w:szCs w:val="18"/>
    </w:rPr>
  </w:style>
  <w:style w:type="character" w:customStyle="1" w:styleId="15">
    <w:name w:val="批注框文本 Char"/>
    <w:basedOn w:val="8"/>
    <w:link w:val="4"/>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4</Pages>
  <Words>282</Words>
  <Characters>1610</Characters>
  <Lines>13</Lines>
  <Paragraphs>3</Paragraphs>
  <TotalTime>0</TotalTime>
  <ScaleCrop>false</ScaleCrop>
  <LinksUpToDate>false</LinksUpToDate>
  <CharactersWithSpaces>1889</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2016-04-14T07:26:00Z</dcterms:created>
  <dc:creator>1200400189</dc:creator>
  <cp:lastModifiedBy>aaaa</cp:lastModifiedBy>
  <dcterms:modified xsi:type="dcterms:W3CDTF">2017-05-31T07:43:02Z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